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D311" w14:textId="77777777" w:rsidR="002C0AF5" w:rsidRPr="006A00F2" w:rsidRDefault="002C0AF5" w:rsidP="006A00F2">
      <w:pPr>
        <w:pStyle w:val="NoSpacing"/>
        <w:jc w:val="center"/>
        <w:rPr>
          <w:sz w:val="32"/>
          <w:szCs w:val="32"/>
        </w:rPr>
      </w:pPr>
      <w:r w:rsidRPr="006A00F2">
        <w:rPr>
          <w:sz w:val="32"/>
          <w:szCs w:val="32"/>
        </w:rPr>
        <w:t>NOTICE WITH RESPECT TO</w:t>
      </w:r>
    </w:p>
    <w:p w14:paraId="66A3FF2B" w14:textId="128D3B12" w:rsidR="002C0AF5" w:rsidRPr="006A00F2" w:rsidRDefault="002C0AF5" w:rsidP="006A00F2">
      <w:pPr>
        <w:pStyle w:val="NoSpacing"/>
        <w:jc w:val="center"/>
        <w:rPr>
          <w:sz w:val="32"/>
          <w:szCs w:val="32"/>
        </w:rPr>
      </w:pPr>
      <w:r w:rsidRPr="006A00F2">
        <w:rPr>
          <w:sz w:val="32"/>
          <w:szCs w:val="32"/>
        </w:rPr>
        <w:t>TAX CERTIFICATES</w:t>
      </w:r>
    </w:p>
    <w:p w14:paraId="38049630" w14:textId="12F10F7E" w:rsidR="002C0AF5" w:rsidRPr="006A00F2" w:rsidRDefault="002C0AF5" w:rsidP="006A00F2">
      <w:pPr>
        <w:pStyle w:val="NoSpacing"/>
        <w:jc w:val="center"/>
        <w:rPr>
          <w:b/>
          <w:bCs/>
          <w:sz w:val="32"/>
          <w:szCs w:val="32"/>
        </w:rPr>
      </w:pPr>
      <w:r w:rsidRPr="006A00F2">
        <w:rPr>
          <w:b/>
          <w:bCs/>
          <w:sz w:val="32"/>
          <w:szCs w:val="32"/>
        </w:rPr>
        <w:t>“BUYER BEWARE”</w:t>
      </w:r>
    </w:p>
    <w:p w14:paraId="1615259A" w14:textId="77777777" w:rsidR="006A00F2" w:rsidRDefault="006A00F2" w:rsidP="00550BA8"/>
    <w:p w14:paraId="66D81EF7" w14:textId="51837CC5" w:rsidR="006A5E75" w:rsidRPr="00D53D08" w:rsidRDefault="002C0AF5" w:rsidP="006A00F2">
      <w:pPr>
        <w:pStyle w:val="NoSpacing"/>
      </w:pPr>
      <w:r w:rsidRPr="00D53D08">
        <w:t xml:space="preserve">Tax Certificates purchased at this sale representing the purchase of a tax lien </w:t>
      </w:r>
      <w:r w:rsidR="006A00F2" w:rsidRPr="00D53D08">
        <w:t>would</w:t>
      </w:r>
      <w:r w:rsidR="006A00F2">
        <w:t xml:space="preserve"> </w:t>
      </w:r>
      <w:r w:rsidR="0023228A">
        <w:t>n</w:t>
      </w:r>
      <w:r w:rsidRPr="00D53D08">
        <w:t>ormally earn interest pursuant to C.R.S., Section 39-12-103. The offering of these</w:t>
      </w:r>
      <w:r w:rsidR="006A00F2">
        <w:t xml:space="preserve"> </w:t>
      </w:r>
      <w:r w:rsidRPr="00D53D08">
        <w:t>certificates does not constitute any representation as to the future usability of the property</w:t>
      </w:r>
      <w:r w:rsidR="006A00F2">
        <w:t xml:space="preserve"> </w:t>
      </w:r>
      <w:r w:rsidRPr="00D53D08">
        <w:t>should a Treasure’s Deed issue nor the certainty of payment of interest in all circumstances.  However, there are several issues that the Treasurer is aware of for buyers to consider.  The</w:t>
      </w:r>
      <w:r w:rsidR="006A00F2">
        <w:t xml:space="preserve"> </w:t>
      </w:r>
      <w:r w:rsidRPr="00D53D08">
        <w:t xml:space="preserve">Pueblo County Treasurer has used the information available in her office to identify </w:t>
      </w:r>
      <w:r w:rsidR="006A00F2" w:rsidRPr="00D53D08">
        <w:t>those</w:t>
      </w:r>
      <w:r w:rsidR="006A00F2">
        <w:t xml:space="preserve"> p</w:t>
      </w:r>
      <w:r w:rsidR="006A5E75" w:rsidRPr="00D53D08">
        <w:t>roperties which may be subject to such uncertainties but does not guarantee such risks do not</w:t>
      </w:r>
      <w:r w:rsidR="006A00F2">
        <w:t xml:space="preserve"> e</w:t>
      </w:r>
      <w:r w:rsidR="006A5E75" w:rsidRPr="00D53D08">
        <w:t>xist.  Treasurer’s Deeds convey marketable title but not insurable title. Investors need to take</w:t>
      </w:r>
      <w:r w:rsidR="006A00F2">
        <w:t xml:space="preserve"> a</w:t>
      </w:r>
      <w:r w:rsidR="006A5E75" w:rsidRPr="00D53D08">
        <w:t>dditional steps to be able to obtain title insurance should they subsequently sell the property.</w:t>
      </w:r>
    </w:p>
    <w:p w14:paraId="7E863D64" w14:textId="77777777" w:rsidR="00D53D08" w:rsidRDefault="00D53D08" w:rsidP="006A00F2">
      <w:pPr>
        <w:pStyle w:val="NoSpacing"/>
      </w:pPr>
    </w:p>
    <w:p w14:paraId="6E6FD0FC" w14:textId="0D6B2FB4" w:rsidR="006A5E75" w:rsidRPr="00D53D08" w:rsidRDefault="006A5E75" w:rsidP="006A00F2">
      <w:pPr>
        <w:pStyle w:val="NoSpacing"/>
      </w:pPr>
      <w:r w:rsidRPr="00D53D08">
        <w:t xml:space="preserve">The </w:t>
      </w:r>
      <w:r w:rsidR="00D32C24">
        <w:t>F</w:t>
      </w:r>
      <w:r w:rsidRPr="00D53D08">
        <w:t>ederal Deposit Insurance Corporation (FDIC) and Resolution Trust Corporation (RTC)</w:t>
      </w:r>
      <w:r w:rsidR="007F0DE1">
        <w:t xml:space="preserve"> may</w:t>
      </w:r>
      <w:r w:rsidR="006A00F2">
        <w:t xml:space="preserve"> </w:t>
      </w:r>
      <w:r w:rsidRPr="00D53D08">
        <w:t>claim, pursuant to Federal Statute {including 12 U.S.C., Section 1825 (b)}, that neither entity is subject to penalties or interest on overdue property taxes.  The involvement of these</w:t>
      </w:r>
      <w:r w:rsidR="00D32C24">
        <w:t xml:space="preserve"> </w:t>
      </w:r>
      <w:r w:rsidR="006A00F2">
        <w:t>a</w:t>
      </w:r>
      <w:r w:rsidRPr="00D53D08">
        <w:t xml:space="preserve">gencies may result in the loss of the interest ordinarily payable at time of redemption of the </w:t>
      </w:r>
    </w:p>
    <w:p w14:paraId="0E71F2B4" w14:textId="56FFCC3F" w:rsidR="006A5E75" w:rsidRPr="00D53D08" w:rsidRDefault="006A5E75" w:rsidP="006A00F2">
      <w:pPr>
        <w:pStyle w:val="NoSpacing"/>
      </w:pPr>
      <w:r w:rsidRPr="00D53D08">
        <w:t>Tax Certification.</w:t>
      </w:r>
    </w:p>
    <w:p w14:paraId="1108C565" w14:textId="77777777" w:rsidR="00D53D08" w:rsidRDefault="00D53D08" w:rsidP="006A00F2">
      <w:pPr>
        <w:pStyle w:val="NoSpacing"/>
      </w:pPr>
    </w:p>
    <w:p w14:paraId="56FD8635" w14:textId="1F969500" w:rsidR="000F3FA1" w:rsidRPr="00D53D08" w:rsidRDefault="000F3FA1" w:rsidP="006A00F2">
      <w:pPr>
        <w:pStyle w:val="NoSpacing"/>
      </w:pPr>
      <w:r w:rsidRPr="00D53D08">
        <w:t>There are also legal issues regarding the ability of the DEA or local law enforcement agencies</w:t>
      </w:r>
      <w:r w:rsidR="006A00F2">
        <w:t xml:space="preserve"> t</w:t>
      </w:r>
      <w:r w:rsidRPr="00D53D08">
        <w:t>o confiscate property which may be subject to tax liens and whether state or federal law</w:t>
      </w:r>
      <w:r w:rsidR="006A00F2">
        <w:t xml:space="preserve"> </w:t>
      </w:r>
      <w:r w:rsidRPr="00D53D08">
        <w:t xml:space="preserve">would allow those agencies to seize the property without regard to the interest due on any </w:t>
      </w:r>
      <w:r w:rsidR="006A00F2">
        <w:t>o</w:t>
      </w:r>
      <w:r w:rsidRPr="00D53D08">
        <w:t>utstanding tax liens.</w:t>
      </w:r>
    </w:p>
    <w:p w14:paraId="6C1F1915" w14:textId="77777777" w:rsidR="00D53D08" w:rsidRDefault="00D53D08" w:rsidP="006A00F2">
      <w:pPr>
        <w:pStyle w:val="NoSpacing"/>
      </w:pPr>
    </w:p>
    <w:p w14:paraId="05A329B9" w14:textId="3BEA5536" w:rsidR="000F3FA1" w:rsidRPr="00D53D08" w:rsidRDefault="000F3FA1" w:rsidP="006A00F2">
      <w:pPr>
        <w:pStyle w:val="NoSpacing"/>
      </w:pPr>
      <w:r w:rsidRPr="00D53D08">
        <w:t xml:space="preserve">Environmental hazards may affect the future use or value of properties subject to the sale of tax liens.  When the Treasurer possesses knowledge of a specific environmental hazard linked to a particular certificate, such as underground storage tanks or waste disposal site, </w:t>
      </w:r>
      <w:r w:rsidR="00D32C24">
        <w:t>s</w:t>
      </w:r>
      <w:r w:rsidRPr="00D53D08">
        <w:t>he will</w:t>
      </w:r>
      <w:r w:rsidR="006A00F2">
        <w:t xml:space="preserve"> a</w:t>
      </w:r>
      <w:r w:rsidRPr="00D53D08">
        <w:t xml:space="preserve">ttempt to advise potential bidders.  The absence of such </w:t>
      </w:r>
      <w:r w:rsidR="006A00F2" w:rsidRPr="00D53D08">
        <w:t>an</w:t>
      </w:r>
      <w:r w:rsidRPr="00D53D08">
        <w:t xml:space="preserve"> advisement does not mean that</w:t>
      </w:r>
      <w:r w:rsidR="006A00F2">
        <w:t xml:space="preserve"> t</w:t>
      </w:r>
      <w:r w:rsidRPr="00D53D08">
        <w:t>he hazards do not exist.</w:t>
      </w:r>
    </w:p>
    <w:p w14:paraId="52CA38C5" w14:textId="77777777" w:rsidR="00D53D08" w:rsidRDefault="00D53D08" w:rsidP="006A00F2">
      <w:pPr>
        <w:pStyle w:val="NoSpacing"/>
      </w:pPr>
    </w:p>
    <w:p w14:paraId="627F173A" w14:textId="001222B5" w:rsidR="000F3FA1" w:rsidRPr="00D53D08" w:rsidRDefault="000F3FA1" w:rsidP="006A00F2">
      <w:pPr>
        <w:pStyle w:val="NoSpacing"/>
      </w:pPr>
      <w:r w:rsidRPr="00D53D08">
        <w:t xml:space="preserve">I, the undersigned being of legal age (in the State of Colorado) 18 years or older, has read the </w:t>
      </w:r>
    </w:p>
    <w:p w14:paraId="07283EAD" w14:textId="77A994D0" w:rsidR="000F3FA1" w:rsidRPr="00D53D08" w:rsidRDefault="006A00F2" w:rsidP="006A00F2">
      <w:pPr>
        <w:pStyle w:val="NoSpacing"/>
      </w:pPr>
      <w:r>
        <w:t>a</w:t>
      </w:r>
      <w:r w:rsidR="000F3FA1" w:rsidRPr="00D53D08">
        <w:t>bove disclosures and understands that there is an element of risk in purchasing the tax liens</w:t>
      </w:r>
    </w:p>
    <w:p w14:paraId="48ED03FF" w14:textId="19E470AE" w:rsidR="000F3FA1" w:rsidRPr="00D53D08" w:rsidRDefault="006A00F2" w:rsidP="006A00F2">
      <w:pPr>
        <w:pStyle w:val="NoSpacing"/>
      </w:pPr>
      <w:r>
        <w:t>w</w:t>
      </w:r>
      <w:r w:rsidR="000F3FA1" w:rsidRPr="00D53D08">
        <w:t>ith respect to the interest after sale and the future usability of the property and nonetheless</w:t>
      </w:r>
    </w:p>
    <w:p w14:paraId="69227E81" w14:textId="4842065B" w:rsidR="000F3FA1" w:rsidRPr="00D53D08" w:rsidRDefault="006A00F2" w:rsidP="006A00F2">
      <w:pPr>
        <w:pStyle w:val="NoSpacing"/>
      </w:pPr>
      <w:r>
        <w:t>m</w:t>
      </w:r>
      <w:r w:rsidR="000F3FA1" w:rsidRPr="00D53D08">
        <w:t>ay choose to purchase tax liens at the tax sale.</w:t>
      </w:r>
    </w:p>
    <w:p w14:paraId="12993DBD" w14:textId="1BE22EB0" w:rsidR="000F3FA1" w:rsidRDefault="000F3FA1" w:rsidP="006A00F2">
      <w:pPr>
        <w:pStyle w:val="NoSpacing"/>
        <w:rPr>
          <w:b/>
          <w:bCs/>
        </w:rPr>
      </w:pPr>
    </w:p>
    <w:p w14:paraId="4F25E429" w14:textId="77777777" w:rsidR="000F3FA1" w:rsidRDefault="000F3FA1" w:rsidP="006A00F2">
      <w:pPr>
        <w:pStyle w:val="NoSpacing"/>
        <w:rPr>
          <w:b/>
          <w:bCs/>
        </w:rPr>
      </w:pPr>
    </w:p>
    <w:p w14:paraId="3D5A4DAE" w14:textId="73A1E33D" w:rsidR="000F3FA1" w:rsidRDefault="000F3FA1" w:rsidP="006A00F2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397C864B" w14:textId="5BCF7C0B" w:rsidR="006A5E75" w:rsidRDefault="006A00F2" w:rsidP="006A00F2">
      <w:pPr>
        <w:pStyle w:val="NoSpacing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Signature: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1564663" w14:textId="77777777" w:rsidR="006A00F2" w:rsidRDefault="006A00F2" w:rsidP="006A00F2">
      <w:pPr>
        <w:pStyle w:val="NoSpacing"/>
        <w:rPr>
          <w:b/>
          <w:bCs/>
        </w:rPr>
      </w:pPr>
    </w:p>
    <w:p w14:paraId="12893F9B" w14:textId="77777777" w:rsidR="006A00F2" w:rsidRDefault="006A00F2" w:rsidP="006A00F2">
      <w:pPr>
        <w:pStyle w:val="NoSpacing"/>
        <w:rPr>
          <w:b/>
          <w:bCs/>
        </w:rPr>
      </w:pPr>
    </w:p>
    <w:p w14:paraId="2FE1F2BA" w14:textId="4549528A" w:rsidR="006A00F2" w:rsidRDefault="006A00F2" w:rsidP="006A00F2">
      <w:pPr>
        <w:pStyle w:val="NoSpacing"/>
        <w:rPr>
          <w:b/>
          <w:bCs/>
        </w:rPr>
      </w:pPr>
      <w:r>
        <w:rPr>
          <w:b/>
          <w:bCs/>
        </w:rPr>
        <w:t>Date: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   Print Name of buyer: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07B3D7A" w14:textId="68FE6070" w:rsidR="006A00F2" w:rsidRDefault="006A00F2" w:rsidP="006A00F2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BA65762" w14:textId="7032858D" w:rsidR="006A00F2" w:rsidRPr="006A00F2" w:rsidRDefault="006A00F2" w:rsidP="006A00F2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Company Name: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  <w:r>
        <w:rPr>
          <w:b/>
          <w:bCs/>
        </w:rPr>
        <w:tab/>
      </w:r>
    </w:p>
    <w:p w14:paraId="1D1ADB2C" w14:textId="77777777" w:rsidR="006A5E75" w:rsidRDefault="006A5E75" w:rsidP="006A00F2">
      <w:pPr>
        <w:pStyle w:val="NoSpacing"/>
        <w:rPr>
          <w:b/>
          <w:bCs/>
        </w:rPr>
      </w:pPr>
    </w:p>
    <w:p w14:paraId="6B03A6B3" w14:textId="40FDE21C" w:rsidR="002C0AF5" w:rsidRDefault="002C0AF5" w:rsidP="006A00F2">
      <w:pPr>
        <w:pStyle w:val="NoSpacing"/>
        <w:rPr>
          <w:b/>
          <w:bCs/>
        </w:rPr>
      </w:pPr>
      <w:r>
        <w:rPr>
          <w:b/>
          <w:bCs/>
        </w:rPr>
        <w:br/>
      </w:r>
    </w:p>
    <w:p w14:paraId="669983B4" w14:textId="77777777" w:rsidR="002C0AF5" w:rsidRPr="002C0AF5" w:rsidRDefault="002C0AF5" w:rsidP="002C0AF5">
      <w:pPr>
        <w:jc w:val="center"/>
        <w:rPr>
          <w:b/>
          <w:bCs/>
        </w:rPr>
      </w:pPr>
    </w:p>
    <w:sectPr w:rsidR="002C0AF5" w:rsidRPr="002C0AF5" w:rsidSect="002C0AF5">
      <w:pgSz w:w="12240" w:h="15840"/>
      <w:pgMar w:top="1440" w:right="1440" w:bottom="1440" w:left="1440" w:header="720" w:footer="720" w:gutter="0"/>
      <w:pgBorders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F5"/>
    <w:rsid w:val="000F3FA1"/>
    <w:rsid w:val="0023228A"/>
    <w:rsid w:val="002C0AF5"/>
    <w:rsid w:val="00550BA8"/>
    <w:rsid w:val="006A00F2"/>
    <w:rsid w:val="006A5E75"/>
    <w:rsid w:val="007F0DE1"/>
    <w:rsid w:val="00D32C24"/>
    <w:rsid w:val="00D53D08"/>
    <w:rsid w:val="00E3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E4CD"/>
  <w15:chartTrackingRefBased/>
  <w15:docId w15:val="{4EEC9B3D-DB29-486F-9C30-4DBAD18B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71C8-518F-4A58-B831-B654370B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Bramer, Julie</dc:creator>
  <cp:keywords/>
  <dc:description/>
  <cp:lastModifiedBy>Patterson, Jacob</cp:lastModifiedBy>
  <cp:revision>4</cp:revision>
  <cp:lastPrinted>2024-01-08T20:40:00Z</cp:lastPrinted>
  <dcterms:created xsi:type="dcterms:W3CDTF">2024-01-08T20:40:00Z</dcterms:created>
  <dcterms:modified xsi:type="dcterms:W3CDTF">2024-01-08T21:20:00Z</dcterms:modified>
</cp:coreProperties>
</file>